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05B96"/>
          <w:sz w:val="44"/>
        </w:rPr>
        <w:t>Guia de Precificação e Proposta Comercial</w:t>
      </w:r>
    </w:p>
    <w:p>
      <w:pPr>
        <w:jc w:val="center"/>
      </w:pPr>
      <w:r>
        <w:rPr>
          <w:color w:val="2C3E50"/>
          <w:sz w:val="24"/>
        </w:rPr>
        <w:t>Landing page + compra integrada + cadastro + área exclusiva simples</w:t>
      </w:r>
    </w:p>
    <w:p>
      <w:r>
        <w:rPr>
          <w:b/>
        </w:rPr>
        <w:t xml:space="preserve">Objetivo: </w:t>
      </w:r>
      <w:r>
        <w:t>ter uma referência rápida para estimar, explicar e defender o valor de projetos semelhantes ao Atendimento Web e ao ImobWeb, sem vender como “site simples”.</w:t>
      </w:r>
    </w:p>
    <w:p>
      <w:pPr>
        <w:pStyle w:val="Heading1"/>
      </w:pPr>
      <w:r>
        <w:t>1. Como posicionar esse tipo de entrega</w:t>
      </w:r>
    </w:p>
    <w:p>
      <w:r>
        <w:rPr>
          <w:b/>
        </w:rPr>
        <w:t xml:space="preserve">Posicionamento recomendado: </w:t>
      </w:r>
      <w:r>
        <w:t>“mini plataforma web para vender, cadastrar e liberar acesso ao cliente automaticamente”, ou “landing page com checkout e área exclusiva para produtos digitais e serviços recorrentes”.</w:t>
      </w:r>
    </w:p>
    <w:p>
      <w:r>
        <w:rPr>
          <w:b/>
        </w:rPr>
        <w:t xml:space="preserve">O valor não está apenas no layout. </w:t>
      </w:r>
      <w:r>
        <w:t>O escopo envolve páginas, regras de negócio, integração de pagamento, cadastro, e-mails, publicação, testes e suporte inicial.</w:t>
      </w:r>
    </w:p>
    <w:p>
      <w:pPr>
        <w:pStyle w:val="Heading1"/>
      </w:pPr>
      <w:r>
        <w:t>2. Blocos que compõem o valor do projeto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4" w:space="0" w:color="D9E2EC"/>
          <w:left w:val="single" w:sz="4" w:space="0" w:color="D9E2EC"/>
          <w:bottom w:val="single" w:sz="4" w:space="0" w:color="D9E2EC"/>
          <w:right w:val="single" w:sz="4" w:space="0" w:color="D9E2EC"/>
          <w:insideH w:val="single" w:sz="4" w:space="0" w:color="D9E2EC"/>
          <w:insideV w:val="single" w:sz="4" w:space="0" w:color="D9E2EC"/>
        </w:tblBorders>
      </w:tblPr>
      <w:tblGrid>
        <w:gridCol w:w="3456"/>
        <w:gridCol w:w="3456"/>
        <w:gridCol w:w="3456"/>
      </w:tblGrid>
      <w:tr>
        <w:tc>
          <w:tcPr>
            <w:tcW w:type="dxa" w:w="3456"/>
            <w:vAlign w:val="center"/>
            <w:shd w:fill="0F766E"/>
          </w:tcPr>
          <w:p>
            <w:r/>
            <w:r>
              <w:rPr>
                <w:b/>
                <w:color w:val="FFFFFF"/>
                <w:sz w:val="17"/>
              </w:rPr>
              <w:t>Bloco</w:t>
            </w:r>
          </w:p>
        </w:tc>
        <w:tc>
          <w:tcPr>
            <w:tcW w:type="dxa" w:w="3456"/>
            <w:vAlign w:val="center"/>
            <w:shd w:fill="0F766E"/>
          </w:tcPr>
          <w:p>
            <w:r/>
            <w:r>
              <w:rPr>
                <w:b/>
                <w:color w:val="FFFFFF"/>
                <w:sz w:val="17"/>
              </w:rPr>
              <w:t>O que contempla</w:t>
            </w:r>
          </w:p>
        </w:tc>
        <w:tc>
          <w:tcPr>
            <w:tcW w:type="dxa" w:w="3456"/>
            <w:vAlign w:val="center"/>
            <w:shd w:fill="0F766E"/>
          </w:tcPr>
          <w:p>
            <w:r/>
            <w:r>
              <w:rPr>
                <w:b/>
                <w:color w:val="FFFFFF"/>
                <w:sz w:val="17"/>
              </w:rPr>
              <w:t>Por que agrega valor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Landing page comercial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Página de apresentação, CTA, responsividade, textos, imagens, formulário/links.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Transforma a ideia em uma página vendável e compreensível.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Fluxo de compra integrado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Página de aquisição, validações, gateway de pagamento, retorno, confirmação e tratamento de erro.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Envolve dinheiro, segurança, risco operacional e testes ponta a ponta.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Cadastro e ativação do cliente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Criação de cliente/usuário, senha/acesso, persistência em banco e envio de e-mail.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Deixa de ser site institucional e vira uma aplicação funcional.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Área mínima do cliente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Login/área exclusiva, documentos, informações, status, histórico ou registros simples.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Entrega valor contínuo após a compra e aumenta percepção de produto.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Publicação e estabilização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Deploy, domínio/SSL, banco, web.config/appSettings, permissões, pastas, testes e ajustes pós-publicação.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Evita dor de cabeça para o cliente e reduz risco de produção.</w:t>
            </w:r>
          </w:p>
        </w:tc>
      </w:tr>
    </w:tbl>
    <w:p>
      <w:r>
        <w:br w:type="page"/>
      </w:r>
    </w:p>
    <w:p>
      <w:pPr>
        <w:pStyle w:val="Heading1"/>
      </w:pPr>
      <w:r>
        <w:t>3. Pacotes sugeridos de cobrança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9E2EC"/>
          <w:left w:val="single" w:sz="4" w:space="0" w:color="D9E2EC"/>
          <w:bottom w:val="single" w:sz="4" w:space="0" w:color="D9E2EC"/>
          <w:right w:val="single" w:sz="4" w:space="0" w:color="D9E2EC"/>
          <w:insideH w:val="single" w:sz="4" w:space="0" w:color="D9E2EC"/>
          <w:insideV w:val="single" w:sz="4" w:space="0" w:color="D9E2EC"/>
        </w:tblBorders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vAlign w:val="center"/>
            <w:shd w:fill="1D4ED8"/>
          </w:tcPr>
          <w:p>
            <w:r/>
            <w:r>
              <w:rPr>
                <w:b/>
                <w:color w:val="FFFFFF"/>
                <w:sz w:val="16"/>
              </w:rPr>
              <w:t>Pacote</w:t>
            </w:r>
          </w:p>
        </w:tc>
        <w:tc>
          <w:tcPr>
            <w:tcW w:type="dxa" w:w="2592"/>
            <w:vAlign w:val="center"/>
            <w:shd w:fill="1D4ED8"/>
          </w:tcPr>
          <w:p>
            <w:r/>
            <w:r>
              <w:rPr>
                <w:b/>
                <w:color w:val="FFFFFF"/>
                <w:sz w:val="16"/>
              </w:rPr>
              <w:t>Indicado para</w:t>
            </w:r>
          </w:p>
        </w:tc>
        <w:tc>
          <w:tcPr>
            <w:tcW w:type="dxa" w:w="2592"/>
            <w:vAlign w:val="center"/>
            <w:shd w:fill="1D4ED8"/>
          </w:tcPr>
          <w:p>
            <w:r/>
            <w:r>
              <w:rPr>
                <w:b/>
                <w:color w:val="FFFFFF"/>
                <w:sz w:val="16"/>
              </w:rPr>
              <w:t>Inclui</w:t>
            </w:r>
          </w:p>
        </w:tc>
        <w:tc>
          <w:tcPr>
            <w:tcW w:type="dxa" w:w="2592"/>
            <w:vAlign w:val="center"/>
            <w:shd w:fill="1D4ED8"/>
          </w:tcPr>
          <w:p>
            <w:r/>
            <w:r>
              <w:rPr>
                <w:b/>
                <w:color w:val="FFFFFF"/>
                <w:sz w:val="16"/>
              </w:rPr>
              <w:t>Faixa sugerida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1. Landing Page simples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Cliente que precisa de presença online e formulário.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Página responsiva, apresentação do serviço, formulário de contato, redes sociais e publicação básica.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R$ 1.500 a R$ 3.500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2. Landing Page com compra integrada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Cliente que quer vender serviço/produto online.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Landing page, aquisição, cadastro do comprador, pagamento, confirmação, e-mail e publicação/teste básico.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R$ 4.500 a R$ 9.000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3. Mini sistema com área exclusiva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Cliente que precisa vender, cadastrar, ativar acesso e entregar conteúdo/serviço em área logada.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Landing page, checkout, cadastro, e-mail, área exclusiva, documentos/registros simples, deploy e suporte inicial.</w:t>
            </w:r>
          </w:p>
        </w:tc>
        <w:tc>
          <w:tcPr>
            <w:tcW w:type="dxa" w:w="2592"/>
            <w:vAlign w:val="center"/>
          </w:tcPr>
          <w:p>
            <w:r/>
            <w:r>
              <w:rPr>
                <w:b w:val="0"/>
                <w:sz w:val="16"/>
              </w:rPr>
              <w:t>R$ 9.000 a R$ 20.000+</w:t>
            </w:r>
          </w:p>
        </w:tc>
      </w:tr>
    </w:tbl>
    <w:p>
      <w:pPr>
        <w:pStyle w:val="Heading1"/>
      </w:pPr>
      <w:r>
        <w:t>4. Fórmula prática para calcular um projeto</w:t>
      </w:r>
    </w:p>
    <w:p>
      <w:r>
        <w:rPr>
          <w:b/>
        </w:rPr>
        <w:t xml:space="preserve">Fórmula base: </w:t>
      </w:r>
      <w:r>
        <w:t>Valor do projeto = horas estimadas × valor/hora + margem de risco + suporte inicial.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9E2EC"/>
          <w:left w:val="single" w:sz="4" w:space="0" w:color="D9E2EC"/>
          <w:bottom w:val="single" w:sz="4" w:space="0" w:color="D9E2EC"/>
          <w:right w:val="single" w:sz="4" w:space="0" w:color="D9E2EC"/>
          <w:insideH w:val="single" w:sz="4" w:space="0" w:color="D9E2EC"/>
          <w:insideV w:val="single" w:sz="4" w:space="0" w:color="D9E2EC"/>
        </w:tblBorders>
      </w:tblPr>
      <w:tblGrid>
        <w:gridCol w:w="3456"/>
        <w:gridCol w:w="3456"/>
        <w:gridCol w:w="3456"/>
      </w:tblGrid>
      <w:tr>
        <w:tc>
          <w:tcPr>
            <w:tcW w:type="dxa" w:w="3456"/>
            <w:vAlign w:val="center"/>
            <w:shd w:fill="0B5394"/>
          </w:tcPr>
          <w:p>
            <w:r/>
            <w:r>
              <w:rPr>
                <w:b/>
                <w:color w:val="FFFFFF"/>
                <w:sz w:val="17"/>
              </w:rPr>
              <w:t>Item</w:t>
            </w:r>
          </w:p>
        </w:tc>
        <w:tc>
          <w:tcPr>
            <w:tcW w:type="dxa" w:w="3456"/>
            <w:vAlign w:val="center"/>
            <w:shd w:fill="0B5394"/>
          </w:tcPr>
          <w:p>
            <w:r/>
            <w:r>
              <w:rPr>
                <w:b/>
                <w:color w:val="FFFFFF"/>
                <w:sz w:val="17"/>
              </w:rPr>
              <w:t>Exemplo</w:t>
            </w:r>
          </w:p>
        </w:tc>
        <w:tc>
          <w:tcPr>
            <w:tcW w:type="dxa" w:w="3456"/>
            <w:vAlign w:val="center"/>
            <w:shd w:fill="0B5394"/>
          </w:tcPr>
          <w:p>
            <w:r/>
            <w:r>
              <w:rPr>
                <w:b/>
                <w:color w:val="FFFFFF"/>
                <w:sz w:val="17"/>
              </w:rPr>
              <w:t>Observação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Horas estimadas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80 horas × R$ 120/h = R$ 9.600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Ajustar conforme complexidade.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Margem de risco/configuração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R$ 1.500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Integração, produção, gateway, ajustes imprevistos.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Suporte inicial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R$ 900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15 a 30 dias de correções pós-entrega.</w:t>
            </w:r>
          </w:p>
        </w:tc>
      </w:tr>
    </w:tbl>
    <w:p>
      <w:r>
        <w:rPr>
          <w:b/>
        </w:rPr>
        <w:t xml:space="preserve">Total de referência no exemplo: </w:t>
      </w:r>
      <w:r>
        <w:t>R$ 12.000. Para algo parecido com o Atendimento Web, com compra, login, cadastro e deploy, evite cobrar abaixo de R$ 8.000 a R$ 12.000, salvo se o escopo for muito reduzido.</w:t>
      </w:r>
    </w:p>
    <w:p>
      <w:pPr>
        <w:pStyle w:val="Heading1"/>
      </w:pPr>
      <w:r>
        <w:t>5. Implantação e manutenção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9E2EC"/>
          <w:left w:val="single" w:sz="4" w:space="0" w:color="D9E2EC"/>
          <w:bottom w:val="single" w:sz="4" w:space="0" w:color="D9E2EC"/>
          <w:right w:val="single" w:sz="4" w:space="0" w:color="D9E2EC"/>
          <w:insideH w:val="single" w:sz="4" w:space="0" w:color="D9E2EC"/>
          <w:insideV w:val="single" w:sz="4" w:space="0" w:color="D9E2EC"/>
        </w:tblBorders>
      </w:tblPr>
      <w:tblGrid>
        <w:gridCol w:w="3456"/>
        <w:gridCol w:w="3456"/>
        <w:gridCol w:w="3456"/>
      </w:tblGrid>
      <w:tr>
        <w:tc>
          <w:tcPr>
            <w:tcW w:type="dxa" w:w="3456"/>
            <w:vAlign w:val="center"/>
            <w:shd w:fill="166534"/>
          </w:tcPr>
          <w:p>
            <w:r/>
            <w:r>
              <w:rPr>
                <w:b/>
                <w:color w:val="FFFFFF"/>
                <w:sz w:val="17"/>
              </w:rPr>
              <w:t>Tipo</w:t>
            </w:r>
          </w:p>
        </w:tc>
        <w:tc>
          <w:tcPr>
            <w:tcW w:type="dxa" w:w="3456"/>
            <w:vAlign w:val="center"/>
            <w:shd w:fill="166534"/>
          </w:tcPr>
          <w:p>
            <w:r/>
            <w:r>
              <w:rPr>
                <w:b/>
                <w:color w:val="FFFFFF"/>
                <w:sz w:val="17"/>
              </w:rPr>
              <w:t>Quando usar</w:t>
            </w:r>
          </w:p>
        </w:tc>
        <w:tc>
          <w:tcPr>
            <w:tcW w:type="dxa" w:w="3456"/>
            <w:vAlign w:val="center"/>
            <w:shd w:fill="166534"/>
          </w:tcPr>
          <w:p>
            <w:r/>
            <w:r>
              <w:rPr>
                <w:b/>
                <w:color w:val="FFFFFF"/>
                <w:sz w:val="17"/>
              </w:rPr>
              <w:t>Faixa sugerida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Suporte leve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Correções pequenas, dúvidas e acompanhamento básico.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R$ 300 a R$ 600/mês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Manutenção com melhorias contínuas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Pequenas evoluções mensais, ajustes de tela e melhorias pontuais.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R$ 800 a R$ 1.500/mês</w:t>
            </w:r>
          </w:p>
        </w:tc>
      </w:tr>
      <w:tr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Evolução frequente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Novas funcionalidades, integrações, refatoração e evolução constante.</w:t>
            </w:r>
          </w:p>
        </w:tc>
        <w:tc>
          <w:tcPr>
            <w:tcW w:type="dxa" w:w="3456"/>
            <w:vAlign w:val="center"/>
          </w:tcPr>
          <w:p>
            <w:r/>
            <w:r>
              <w:rPr>
                <w:b w:val="0"/>
                <w:sz w:val="17"/>
              </w:rPr>
              <w:t>R$ 2.000+/mês</w:t>
            </w:r>
          </w:p>
        </w:tc>
      </w:tr>
    </w:tbl>
    <w:p>
      <w:pPr>
        <w:pStyle w:val="Heading1"/>
      </w:pPr>
      <w:r>
        <w:t>6. Texto pronto para responder quando perguntarem preço</w:t>
      </w:r>
    </w:p>
    <w:p>
      <w:pPr>
        <w:pStyle w:val="IntenseQuote"/>
      </w:pPr>
      <w:r>
        <w:rPr>
          <w:b/>
        </w:rPr>
        <w:t xml:space="preserve">Para esse tipo de solução, eu costumo dividir o projeto em implantação e manutenção. </w:t>
      </w:r>
      <w:r>
        <w:t>A implantação contempla a criação da landing page, fluxo de cadastro, integração com pagamento, envio de e-mails, área mínima de acesso do cliente, publicação em produção e testes. Depois da entrega, recomendo uma mensalidade de manutenção para suporte, pequenos ajustes, acompanhamento técnico e evolução da solução. O valor final depende do escopo, quantidade de telas, regras de negócio, integrações e nível de personalização necessário.</w:t>
      </w:r>
    </w:p>
    <w:p>
      <w:r>
        <w:br w:type="page"/>
      </w:r>
    </w:p>
    <w:p>
      <w:pPr>
        <w:pStyle w:val="Heading1"/>
      </w:pPr>
      <w:r>
        <w:t>7. Escopo mínimo para proposta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9E2EC"/>
          <w:left w:val="single" w:sz="4" w:space="0" w:color="D9E2EC"/>
          <w:bottom w:val="single" w:sz="4" w:space="0" w:color="D9E2EC"/>
          <w:right w:val="single" w:sz="4" w:space="0" w:color="D9E2EC"/>
          <w:insideH w:val="single" w:sz="4" w:space="0" w:color="D9E2EC"/>
          <w:insideV w:val="single" w:sz="4" w:space="0" w:color="D9E2EC"/>
        </w:tblBorders>
      </w:tblPr>
      <w:tblGrid>
        <w:gridCol w:w="5184"/>
        <w:gridCol w:w="5184"/>
      </w:tblGrid>
      <w:tr>
        <w:tc>
          <w:tcPr>
            <w:tcW w:type="dxa" w:w="5184"/>
            <w:shd w:fill="111827"/>
          </w:tcPr>
          <w:p>
            <w:r>
              <w:rPr>
                <w:b/>
                <w:color w:val="FFFFFF"/>
              </w:rPr>
              <w:t>Incluído</w:t>
            </w:r>
          </w:p>
        </w:tc>
        <w:tc>
          <w:tcPr>
            <w:tcW w:type="dxa" w:w="5184"/>
            <w:shd w:fill="111827"/>
          </w:tcPr>
          <w:p>
            <w:r>
              <w:rPr>
                <w:b/>
                <w:color w:val="FFFFFF"/>
              </w:rPr>
              <w:t>Não incluído / cobrar à parte</w:t>
            </w:r>
          </w:p>
        </w:tc>
      </w:tr>
      <w:tr>
        <w:tc>
          <w:tcPr>
            <w:tcW w:type="dxa" w:w="5184"/>
          </w:tcPr>
          <w:p>
            <w:r>
              <w:t>• Landing page responsiva</w:t>
            </w:r>
          </w:p>
        </w:tc>
        <w:tc>
          <w:tcPr>
            <w:tcW w:type="dxa" w:w="5184"/>
          </w:tcPr>
          <w:p>
            <w:r>
              <w:t>• Design avançado/branding completo</w:t>
            </w:r>
          </w:p>
        </w:tc>
      </w:tr>
      <w:tr>
        <w:tc>
          <w:tcPr>
            <w:tcW w:type="dxa" w:w="5184"/>
          </w:tcPr>
          <w:p>
            <w:r>
              <w:t>• Página de compra/contratação</w:t>
            </w:r>
          </w:p>
        </w:tc>
        <w:tc>
          <w:tcPr>
            <w:tcW w:type="dxa" w:w="5184"/>
          </w:tcPr>
          <w:p>
            <w:r>
              <w:t>• Campanhas de tráfego pago</w:t>
            </w:r>
          </w:p>
        </w:tc>
      </w:tr>
      <w:tr>
        <w:tc>
          <w:tcPr>
            <w:tcW w:type="dxa" w:w="5184"/>
          </w:tcPr>
          <w:p>
            <w:r>
              <w:t>• Cadastro básico de cliente</w:t>
            </w:r>
          </w:p>
        </w:tc>
        <w:tc>
          <w:tcPr>
            <w:tcW w:type="dxa" w:w="5184"/>
          </w:tcPr>
          <w:p>
            <w:r>
              <w:t>• Produção de vídeos</w:t>
            </w:r>
          </w:p>
        </w:tc>
      </w:tr>
      <w:tr>
        <w:tc>
          <w:tcPr>
            <w:tcW w:type="dxa" w:w="5184"/>
          </w:tcPr>
          <w:p>
            <w:r>
              <w:t>• Integração com gateway de pagamento</w:t>
            </w:r>
          </w:p>
        </w:tc>
        <w:tc>
          <w:tcPr>
            <w:tcW w:type="dxa" w:w="5184"/>
          </w:tcPr>
          <w:p>
            <w:r>
              <w:t>• Copywriting avançado</w:t>
            </w:r>
          </w:p>
        </w:tc>
      </w:tr>
      <w:tr>
        <w:tc>
          <w:tcPr>
            <w:tcW w:type="dxa" w:w="5184"/>
          </w:tcPr>
          <w:p>
            <w:r>
              <w:t>• Tela de confirmação</w:t>
            </w:r>
          </w:p>
        </w:tc>
        <w:tc>
          <w:tcPr>
            <w:tcW w:type="dxa" w:w="5184"/>
          </w:tcPr>
          <w:p>
            <w:r>
              <w:t>• Integrações adicionais não previstas</w:t>
            </w:r>
          </w:p>
        </w:tc>
      </w:tr>
      <w:tr>
        <w:tc>
          <w:tcPr>
            <w:tcW w:type="dxa" w:w="5184"/>
          </w:tcPr>
          <w:p>
            <w:r>
              <w:t>• Envio de e-mail automático</w:t>
            </w:r>
          </w:p>
        </w:tc>
        <w:tc>
          <w:tcPr>
            <w:tcW w:type="dxa" w:w="5184"/>
          </w:tcPr>
          <w:p>
            <w:r>
              <w:t>• Aplicativo mobile nativo</w:t>
            </w:r>
          </w:p>
        </w:tc>
      </w:tr>
      <w:tr>
        <w:tc>
          <w:tcPr>
            <w:tcW w:type="dxa" w:w="5184"/>
          </w:tcPr>
          <w:p>
            <w:r>
              <w:t>• Área exclusiva simples</w:t>
            </w:r>
          </w:p>
        </w:tc>
        <w:tc>
          <w:tcPr>
            <w:tcW w:type="dxa" w:w="5184"/>
          </w:tcPr>
          <w:p>
            <w:r>
              <w:t>• Suporte ilimitado</w:t>
            </w:r>
          </w:p>
        </w:tc>
      </w:tr>
      <w:tr>
        <w:tc>
          <w:tcPr>
            <w:tcW w:type="dxa" w:w="5184"/>
          </w:tcPr>
          <w:p>
            <w:r>
              <w:t>• Publicação em produção</w:t>
            </w:r>
          </w:p>
        </w:tc>
        <w:tc>
          <w:tcPr>
            <w:tcW w:type="dxa" w:w="5184"/>
          </w:tcPr>
          <w:p>
            <w:r>
              <w:t>• Alterações fora do escopo aprovado</w:t>
            </w:r>
          </w:p>
        </w:tc>
      </w:tr>
      <w:tr>
        <w:tc>
          <w:tcPr>
            <w:tcW w:type="dxa" w:w="5184"/>
          </w:tcPr>
          <w:p>
            <w:r>
              <w:t>• Teste ponta a ponta</w:t>
            </w:r>
          </w:p>
        </w:tc>
        <w:tc>
          <w:tcPr>
            <w:tcW w:type="dxa" w:w="5184"/>
          </w:tcPr>
          <w:p>
            <w:r>
              <w:t>• Taxas de gateway, domínio e hospedagem</w:t>
            </w:r>
          </w:p>
        </w:tc>
      </w:tr>
      <w:tr>
        <w:tc>
          <w:tcPr>
            <w:tcW w:type="dxa" w:w="5184"/>
          </w:tcPr>
          <w:p>
            <w:r>
              <w:t>• 15 a 30 dias de suporte corretivo</w:t>
            </w:r>
          </w:p>
        </w:tc>
        <w:tc>
          <w:tcPr>
            <w:tcW w:type="dxa" w:w="5184"/>
          </w:tcPr>
          <w:p>
            <w:r>
              <w:t xml:space="preserve">• </w:t>
            </w:r>
          </w:p>
        </w:tc>
      </w:tr>
    </w:tbl>
    <w:p>
      <w:pPr>
        <w:pStyle w:val="Heading1"/>
      </w:pPr>
      <w:r>
        <w:t>8. Regras de proteção para não perder margem</w:t>
      </w:r>
    </w:p>
    <w:p>
      <w:pPr>
        <w:pStyle w:val="ListBullet"/>
      </w:pPr>
      <w:r>
        <w:t>Não reduza preço sem reduzir escopo. Corte itens, integrações, telas, suporte ou prazo.</w:t>
      </w:r>
    </w:p>
    <w:p>
      <w:pPr>
        <w:pStyle w:val="ListBullet"/>
      </w:pPr>
      <w:r>
        <w:t>Pagamento integrado sempre exige margem de risco maior por envolver ambiente externo, testes e produção.</w:t>
      </w:r>
    </w:p>
    <w:p>
      <w:pPr>
        <w:pStyle w:val="ListBullet"/>
      </w:pPr>
      <w:r>
        <w:t>Separe implantação de manutenção. Não aceite suporte ilimitado embutido no projeto.</w:t>
      </w:r>
    </w:p>
    <w:p>
      <w:pPr>
        <w:pStyle w:val="ListBullet"/>
      </w:pPr>
      <w:r>
        <w:t>Defina claramente quantidade de telas, formulários, e-mails, integrações e ciclos de revisão.</w:t>
      </w:r>
    </w:p>
    <w:p>
      <w:pPr>
        <w:pStyle w:val="ListBullet"/>
      </w:pPr>
      <w:r>
        <w:t>Inclua prazo de suporte corretivo e diferencie correção de bug de nova melhoria.</w:t>
      </w:r>
    </w:p>
    <w:p>
      <w:pPr>
        <w:pStyle w:val="Heading1"/>
      </w:pPr>
      <w:r>
        <w:t>9. Referência rápida recomendada</w:t>
      </w:r>
    </w:p>
    <w:p>
      <w:r>
        <w:rPr>
          <w:b/>
        </w:rPr>
        <w:t xml:space="preserve">Projeto parecido com o Atendimento Web: </w:t>
      </w:r>
      <w:r>
        <w:t>Implantação de R$ 12.000 como ponto de partida, manutenção de R$ 700/mês, prazo de 30 a 45 dias, escopo com landing page + compra + cadastro + e-mail + área exclusiva simples + deploy.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Guia interno de precificação • Landing page + checkout + cadastro + área exclusiva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